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4C" w:rsidRPr="00055684" w:rsidRDefault="0076474C" w:rsidP="0076474C">
      <w:pPr>
        <w:jc w:val="both"/>
        <w:rPr>
          <w:b/>
          <w:bCs/>
          <w:i/>
          <w:color w:val="0F243E"/>
          <w:sz w:val="26"/>
          <w:szCs w:val="26"/>
          <w:u w:val="single"/>
        </w:rPr>
      </w:pPr>
      <w:r w:rsidRPr="00055684">
        <w:rPr>
          <w:b/>
          <w:bCs/>
          <w:i/>
          <w:color w:val="0F243E"/>
          <w:sz w:val="26"/>
          <w:szCs w:val="26"/>
          <w:u w:val="single"/>
        </w:rPr>
        <w:t>PROJETO DE LEI Nº 247/2016               -               DE 10 DE OUTUBRO DE 2016.</w:t>
      </w:r>
    </w:p>
    <w:p w:rsidR="0076474C" w:rsidRPr="00055684" w:rsidRDefault="0076474C" w:rsidP="0076474C">
      <w:pPr>
        <w:ind w:left="4536"/>
        <w:jc w:val="both"/>
        <w:rPr>
          <w:b/>
          <w:i/>
          <w:color w:val="0F243E"/>
          <w:sz w:val="20"/>
          <w:szCs w:val="26"/>
        </w:rPr>
      </w:pPr>
    </w:p>
    <w:p w:rsidR="0076474C" w:rsidRPr="00055684" w:rsidRDefault="0076474C" w:rsidP="0076474C">
      <w:pPr>
        <w:ind w:left="4536"/>
        <w:jc w:val="both"/>
        <w:rPr>
          <w:b/>
          <w:i/>
          <w:color w:val="0F243E"/>
          <w:sz w:val="26"/>
          <w:szCs w:val="26"/>
        </w:rPr>
      </w:pPr>
      <w:r w:rsidRPr="00055684">
        <w:rPr>
          <w:b/>
          <w:i/>
          <w:color w:val="0F243E"/>
          <w:sz w:val="26"/>
          <w:szCs w:val="26"/>
        </w:rPr>
        <w:t xml:space="preserve">“DISPÕE SOBRE A REVISÃO DO </w:t>
      </w:r>
      <w:bookmarkStart w:id="0" w:name="_GoBack"/>
      <w:bookmarkEnd w:id="0"/>
      <w:r w:rsidRPr="00055684">
        <w:rPr>
          <w:b/>
          <w:i/>
          <w:color w:val="0F243E"/>
          <w:sz w:val="26"/>
          <w:szCs w:val="26"/>
        </w:rPr>
        <w:t>PLANO PLURIANUAL DO MUNICÍPIO DE GUARAÍ PARA O PERÍODO DE  2017 E DÁ OUTRAS PROVIDÊNCIAS”.</w:t>
      </w:r>
    </w:p>
    <w:p w:rsidR="0076474C" w:rsidRPr="00055684" w:rsidRDefault="0076474C" w:rsidP="0076474C">
      <w:pPr>
        <w:pStyle w:val="Corpodetexto"/>
        <w:ind w:firstLine="851"/>
        <w:rPr>
          <w:b/>
          <w:i/>
          <w:caps/>
          <w:color w:val="0F243E"/>
          <w:sz w:val="16"/>
          <w:szCs w:val="26"/>
        </w:rPr>
      </w:pPr>
    </w:p>
    <w:p w:rsidR="0076474C" w:rsidRPr="00055684" w:rsidRDefault="0076474C" w:rsidP="0076474C">
      <w:pPr>
        <w:pStyle w:val="Corpodetexto"/>
        <w:ind w:firstLine="851"/>
        <w:jc w:val="both"/>
        <w:rPr>
          <w:i/>
          <w:color w:val="0F243E"/>
          <w:sz w:val="26"/>
          <w:szCs w:val="26"/>
        </w:rPr>
      </w:pPr>
      <w:r w:rsidRPr="00055684">
        <w:rPr>
          <w:b/>
          <w:i/>
          <w:caps/>
          <w:color w:val="0F243E"/>
          <w:sz w:val="26"/>
          <w:szCs w:val="26"/>
        </w:rPr>
        <w:t>O Prefeito Municipal de guaraí</w:t>
      </w:r>
      <w:r w:rsidRPr="00055684">
        <w:rPr>
          <w:i/>
          <w:color w:val="0F243E"/>
          <w:sz w:val="26"/>
          <w:szCs w:val="26"/>
        </w:rPr>
        <w:t>, Estado do Tocantins, faz saber que a Câmara Municipal, no uso de suas atribuições legais e constitucionais, aprovou e eu sanciono a seguinte lei:</w:t>
      </w:r>
    </w:p>
    <w:p w:rsidR="0076474C" w:rsidRPr="00055684" w:rsidRDefault="0076474C" w:rsidP="0076474C">
      <w:pPr>
        <w:ind w:firstLine="851"/>
        <w:jc w:val="both"/>
        <w:rPr>
          <w:i/>
          <w:color w:val="0F243E"/>
          <w:sz w:val="1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  <w:r w:rsidRPr="00055684">
        <w:rPr>
          <w:b/>
          <w:i/>
          <w:color w:val="0F243E"/>
          <w:sz w:val="26"/>
          <w:szCs w:val="26"/>
        </w:rPr>
        <w:t>Art. 1º)</w:t>
      </w:r>
      <w:r w:rsidRPr="00055684">
        <w:rPr>
          <w:i/>
          <w:color w:val="0F243E"/>
          <w:sz w:val="26"/>
          <w:szCs w:val="26"/>
        </w:rPr>
        <w:t>- Institui a Revisão do PLANO PLURIANUAL para o período de 2016 a 2017, em cumprimento ao disposto no art.165, parágrafo 1º da Constituição Federal, estabelecendo para os períodos os programas com seus respectivos objetivos, indicadores e montantes de recursos a serem aplicados em despesas de capital e outras delas decorrentes e na despesas correntes e de caráter continuado, na forma dos Anexos a esta Lei.</w:t>
      </w:r>
    </w:p>
    <w:p w:rsidR="0076474C" w:rsidRPr="00055684" w:rsidRDefault="0076474C" w:rsidP="0076474C">
      <w:pPr>
        <w:ind w:firstLine="708"/>
        <w:jc w:val="both"/>
        <w:rPr>
          <w:i/>
          <w:color w:val="0F243E"/>
          <w:sz w:val="1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  <w:r w:rsidRPr="00055684">
        <w:rPr>
          <w:b/>
          <w:i/>
          <w:color w:val="0F243E"/>
          <w:sz w:val="26"/>
          <w:szCs w:val="26"/>
        </w:rPr>
        <w:t xml:space="preserve">Parágrafo Único: </w:t>
      </w:r>
      <w:r w:rsidRPr="00055684">
        <w:rPr>
          <w:i/>
          <w:color w:val="0F243E"/>
          <w:sz w:val="26"/>
          <w:szCs w:val="26"/>
        </w:rPr>
        <w:t>O disposto nesta Lei compreende todos os órgãos da administração direta e indireta dos Poderes Executivo e Legislativo.</w:t>
      </w:r>
    </w:p>
    <w:p w:rsidR="0076474C" w:rsidRPr="00055684" w:rsidRDefault="0076474C" w:rsidP="0076474C">
      <w:pPr>
        <w:ind w:firstLine="708"/>
        <w:jc w:val="both"/>
        <w:rPr>
          <w:i/>
          <w:color w:val="0F243E"/>
          <w:sz w:val="1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  <w:r w:rsidRPr="00055684">
        <w:rPr>
          <w:i/>
          <w:color w:val="0F243E"/>
          <w:sz w:val="26"/>
          <w:szCs w:val="26"/>
        </w:rPr>
        <w:t xml:space="preserve"> </w:t>
      </w:r>
      <w:r w:rsidRPr="00055684">
        <w:rPr>
          <w:b/>
          <w:i/>
          <w:color w:val="0F243E"/>
          <w:sz w:val="26"/>
          <w:szCs w:val="26"/>
        </w:rPr>
        <w:t>Art. 2º)</w:t>
      </w:r>
      <w:r w:rsidRPr="00055684">
        <w:rPr>
          <w:i/>
          <w:color w:val="0F243E"/>
          <w:sz w:val="26"/>
          <w:szCs w:val="26"/>
        </w:rPr>
        <w:t>- As prioridades e metas para o período de 2016 a 2017 ficarão estabelecidos na Lei de Diretrizes Orçamentárias para os períodos em questão especificados nos Anexos.</w:t>
      </w:r>
    </w:p>
    <w:p w:rsidR="0076474C" w:rsidRPr="00055684" w:rsidRDefault="0076474C" w:rsidP="0076474C">
      <w:pPr>
        <w:ind w:firstLine="851"/>
        <w:jc w:val="both"/>
        <w:rPr>
          <w:i/>
          <w:color w:val="0F243E"/>
          <w:sz w:val="1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  <w:r w:rsidRPr="00055684">
        <w:rPr>
          <w:b/>
          <w:i/>
          <w:color w:val="0F243E"/>
          <w:sz w:val="26"/>
          <w:szCs w:val="26"/>
        </w:rPr>
        <w:t>Art. 3º)</w:t>
      </w:r>
      <w:r w:rsidRPr="00055684">
        <w:rPr>
          <w:i/>
          <w:color w:val="0F243E"/>
          <w:sz w:val="26"/>
          <w:szCs w:val="26"/>
        </w:rPr>
        <w:t>- A exclusão ou alteração de programas constantes nesta Lei, bem como a inclusão de novos programas, serão propostas pelo Poder Executivo, através de projeto de lei de revisão do plano ou projeto especifico.</w:t>
      </w:r>
    </w:p>
    <w:p w:rsidR="0076474C" w:rsidRPr="00055684" w:rsidRDefault="0076474C" w:rsidP="0076474C">
      <w:pPr>
        <w:ind w:firstLine="851"/>
        <w:jc w:val="both"/>
        <w:rPr>
          <w:b/>
          <w:i/>
          <w:color w:val="0F243E"/>
          <w:sz w:val="1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  <w:r w:rsidRPr="00055684">
        <w:rPr>
          <w:b/>
          <w:i/>
          <w:color w:val="0F243E"/>
          <w:sz w:val="26"/>
          <w:szCs w:val="26"/>
        </w:rPr>
        <w:t>Art. 4º)</w:t>
      </w:r>
      <w:r w:rsidRPr="00055684">
        <w:rPr>
          <w:i/>
          <w:color w:val="0F243E"/>
          <w:sz w:val="26"/>
          <w:szCs w:val="26"/>
        </w:rPr>
        <w:t>- A inclusão, exclusão ou alteração de ações orçamentárias no Plano Plurianual poderá ocorrer por intermédio da Lei Orçamentária Anual ou de seus créditos adicionais, inserido-se no respectivo programa, as modificações subseqüentes.</w:t>
      </w:r>
    </w:p>
    <w:p w:rsidR="0076474C" w:rsidRPr="00055684" w:rsidRDefault="0076474C" w:rsidP="0076474C">
      <w:pPr>
        <w:ind w:firstLine="851"/>
        <w:jc w:val="both"/>
        <w:rPr>
          <w:b/>
          <w:i/>
          <w:color w:val="0F243E"/>
          <w:sz w:val="1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  <w:r w:rsidRPr="00055684">
        <w:rPr>
          <w:b/>
          <w:i/>
          <w:color w:val="0F243E"/>
          <w:sz w:val="26"/>
          <w:szCs w:val="26"/>
        </w:rPr>
        <w:t xml:space="preserve">Parágrafo Único: </w:t>
      </w:r>
      <w:r w:rsidRPr="00055684">
        <w:rPr>
          <w:i/>
          <w:color w:val="0F243E"/>
          <w:sz w:val="26"/>
          <w:szCs w:val="26"/>
        </w:rPr>
        <w:t xml:space="preserve">De acordo com o disposto no </w:t>
      </w:r>
      <w:r w:rsidRPr="00055684">
        <w:rPr>
          <w:b/>
          <w:i/>
          <w:color w:val="0F243E"/>
          <w:sz w:val="26"/>
          <w:szCs w:val="26"/>
        </w:rPr>
        <w:t>caput</w:t>
      </w:r>
      <w:r w:rsidRPr="00055684">
        <w:rPr>
          <w:i/>
          <w:color w:val="0F243E"/>
          <w:sz w:val="26"/>
          <w:szCs w:val="26"/>
        </w:rPr>
        <w:t xml:space="preserve"> deste artigo, fica o Poder Executivo, autorizado a adequar as metas das ações orçamentárias para compatibilizá-las com as alterações de valor ou com outras modificações efetivadas na Lei Orçamentária Anual</w:t>
      </w:r>
    </w:p>
    <w:p w:rsidR="0076474C" w:rsidRPr="00055684" w:rsidRDefault="0076474C" w:rsidP="0076474C">
      <w:pPr>
        <w:ind w:firstLine="708"/>
        <w:jc w:val="both"/>
        <w:rPr>
          <w:b/>
          <w:i/>
          <w:color w:val="0F243E"/>
          <w:sz w:val="26"/>
          <w:szCs w:val="26"/>
        </w:rPr>
      </w:pPr>
    </w:p>
    <w:p w:rsidR="0076474C" w:rsidRDefault="0076474C" w:rsidP="0076474C">
      <w:pPr>
        <w:ind w:firstLine="708"/>
        <w:jc w:val="both"/>
        <w:rPr>
          <w:b/>
          <w:i/>
          <w:color w:val="0F243E"/>
          <w:sz w:val="26"/>
          <w:szCs w:val="26"/>
        </w:rPr>
      </w:pPr>
    </w:p>
    <w:p w:rsidR="0076474C" w:rsidRDefault="0076474C" w:rsidP="0076474C">
      <w:pPr>
        <w:ind w:firstLine="708"/>
        <w:jc w:val="both"/>
        <w:rPr>
          <w:b/>
          <w:i/>
          <w:color w:val="0F243E"/>
          <w:sz w:val="26"/>
          <w:szCs w:val="26"/>
        </w:rPr>
      </w:pPr>
    </w:p>
    <w:p w:rsidR="0076474C" w:rsidRDefault="0076474C" w:rsidP="0076474C">
      <w:pPr>
        <w:ind w:firstLine="708"/>
        <w:jc w:val="both"/>
        <w:rPr>
          <w:b/>
          <w:i/>
          <w:color w:val="0F243E"/>
          <w:sz w:val="26"/>
          <w:szCs w:val="26"/>
        </w:rPr>
      </w:pPr>
    </w:p>
    <w:p w:rsidR="0076474C" w:rsidRDefault="0076474C" w:rsidP="0076474C">
      <w:pPr>
        <w:ind w:firstLine="708"/>
        <w:jc w:val="both"/>
        <w:rPr>
          <w:b/>
          <w:i/>
          <w:color w:val="0F243E"/>
          <w:sz w:val="2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  <w:r w:rsidRPr="00055684">
        <w:rPr>
          <w:b/>
          <w:i/>
          <w:color w:val="0F243E"/>
          <w:sz w:val="26"/>
          <w:szCs w:val="26"/>
        </w:rPr>
        <w:t>Art. 5º)</w:t>
      </w:r>
      <w:r w:rsidRPr="00055684">
        <w:rPr>
          <w:i/>
          <w:color w:val="0F243E"/>
          <w:sz w:val="26"/>
          <w:szCs w:val="26"/>
        </w:rPr>
        <w:t>- O Poder Executivo poderá a alterar as metas fiscais estabelecidas, a fim de compatibilizar a despesa orçada com a receita estimada em cada exercício, de forma a assegurar o permanente equilíbrio das contas publicas e a conjuntura do momento.</w:t>
      </w:r>
    </w:p>
    <w:p w:rsidR="0076474C" w:rsidRPr="00055684" w:rsidRDefault="0076474C" w:rsidP="0076474C">
      <w:pPr>
        <w:ind w:firstLine="708"/>
        <w:jc w:val="both"/>
        <w:rPr>
          <w:i/>
          <w:color w:val="0F243E"/>
          <w:sz w:val="26"/>
          <w:szCs w:val="26"/>
        </w:rPr>
      </w:pPr>
    </w:p>
    <w:p w:rsidR="0076474C" w:rsidRPr="00055684" w:rsidRDefault="0076474C" w:rsidP="0076474C">
      <w:pPr>
        <w:ind w:firstLine="708"/>
        <w:jc w:val="both"/>
        <w:rPr>
          <w:color w:val="0F243E"/>
        </w:rPr>
      </w:pPr>
      <w:r w:rsidRPr="00055684">
        <w:rPr>
          <w:b/>
          <w:i/>
          <w:color w:val="0F243E"/>
          <w:sz w:val="26"/>
        </w:rPr>
        <w:t>Art. 6º)</w:t>
      </w:r>
      <w:r w:rsidRPr="00055684">
        <w:rPr>
          <w:i/>
          <w:color w:val="0F243E"/>
          <w:sz w:val="26"/>
        </w:rPr>
        <w:t>-</w:t>
      </w:r>
      <w:r w:rsidRPr="00055684">
        <w:rPr>
          <w:b/>
          <w:i/>
          <w:color w:val="0F243E"/>
          <w:sz w:val="26"/>
        </w:rPr>
        <w:t xml:space="preserve"> </w:t>
      </w:r>
      <w:r w:rsidRPr="00055684">
        <w:rPr>
          <w:i/>
          <w:color w:val="0F243E"/>
          <w:sz w:val="26"/>
        </w:rPr>
        <w:t>Esta Lei entra em vigor na data de sua publicação, surtindo seus efeitos a partir de 1º (primeiro) de janeiro de 2017, revogadas as disposições em contrário.</w:t>
      </w:r>
    </w:p>
    <w:p w:rsidR="0076474C" w:rsidRPr="00055684" w:rsidRDefault="0076474C" w:rsidP="0076474C">
      <w:pPr>
        <w:ind w:firstLine="851"/>
        <w:jc w:val="both"/>
        <w:rPr>
          <w:i/>
          <w:color w:val="0F243E"/>
          <w:sz w:val="26"/>
          <w:szCs w:val="26"/>
        </w:rPr>
      </w:pPr>
    </w:p>
    <w:p w:rsidR="0076474C" w:rsidRPr="00055684" w:rsidRDefault="0076474C" w:rsidP="0076474C">
      <w:pPr>
        <w:pStyle w:val="p11"/>
        <w:spacing w:line="240" w:lineRule="auto"/>
        <w:ind w:left="0" w:firstLine="708"/>
        <w:jc w:val="both"/>
        <w:rPr>
          <w:i/>
          <w:color w:val="0F243E"/>
          <w:sz w:val="26"/>
          <w:szCs w:val="28"/>
        </w:rPr>
      </w:pPr>
      <w:r w:rsidRPr="00055684">
        <w:rPr>
          <w:b/>
          <w:i/>
          <w:color w:val="0F243E"/>
          <w:sz w:val="26"/>
          <w:szCs w:val="28"/>
        </w:rPr>
        <w:t>PALÁCIO PACIFICO SILVA, GABINETE DO PREFEITO MUNICIPAL DE GUARAÍ,</w:t>
      </w:r>
      <w:r w:rsidRPr="00055684">
        <w:rPr>
          <w:i/>
          <w:color w:val="0F243E"/>
          <w:sz w:val="26"/>
          <w:szCs w:val="28"/>
        </w:rPr>
        <w:t xml:space="preserve"> Estado do Tocantins, aos 10 (dez) dias do mês de outubro de 2016.</w:t>
      </w:r>
    </w:p>
    <w:p w:rsidR="0076474C" w:rsidRPr="00055684" w:rsidRDefault="0076474C" w:rsidP="0076474C">
      <w:pPr>
        <w:rPr>
          <w:rFonts w:eastAsia="Arial Unicode MS"/>
          <w:i/>
          <w:color w:val="0F243E"/>
          <w:sz w:val="26"/>
          <w:szCs w:val="26"/>
        </w:rPr>
      </w:pPr>
    </w:p>
    <w:p w:rsidR="0076474C" w:rsidRPr="00055684" w:rsidRDefault="0076474C" w:rsidP="0076474C">
      <w:pPr>
        <w:jc w:val="center"/>
        <w:rPr>
          <w:rFonts w:eastAsia="Arial Unicode MS"/>
          <w:i/>
          <w:color w:val="0F243E"/>
          <w:szCs w:val="26"/>
        </w:rPr>
      </w:pPr>
      <w:r w:rsidRPr="00055684">
        <w:rPr>
          <w:rFonts w:eastAsia="Arial Unicode MS"/>
          <w:i/>
          <w:color w:val="0F243E"/>
          <w:szCs w:val="26"/>
        </w:rPr>
        <w:t>____________________________</w:t>
      </w:r>
    </w:p>
    <w:p w:rsidR="0076474C" w:rsidRPr="00055684" w:rsidRDefault="0076474C" w:rsidP="0076474C">
      <w:pPr>
        <w:jc w:val="center"/>
        <w:rPr>
          <w:rFonts w:eastAsia="Arial Unicode MS"/>
          <w:i/>
          <w:color w:val="0F243E"/>
          <w:szCs w:val="26"/>
        </w:rPr>
      </w:pPr>
      <w:r w:rsidRPr="00055684">
        <w:rPr>
          <w:rFonts w:eastAsia="Arial Unicode MS"/>
          <w:i/>
          <w:color w:val="0F243E"/>
          <w:szCs w:val="26"/>
        </w:rPr>
        <w:t>Francisco Júlio Pereira Sobrinho</w:t>
      </w:r>
    </w:p>
    <w:p w:rsidR="0076474C" w:rsidRPr="00055684" w:rsidRDefault="0076474C" w:rsidP="0076474C">
      <w:pPr>
        <w:jc w:val="center"/>
        <w:rPr>
          <w:rFonts w:eastAsia="Arial Unicode MS"/>
          <w:i/>
          <w:color w:val="0F243E"/>
          <w:szCs w:val="26"/>
        </w:rPr>
      </w:pPr>
      <w:r w:rsidRPr="00055684">
        <w:rPr>
          <w:rFonts w:eastAsia="Arial Unicode MS"/>
          <w:i/>
          <w:color w:val="0F243E"/>
          <w:szCs w:val="26"/>
        </w:rPr>
        <w:t xml:space="preserve">Prefeito Municipal </w:t>
      </w:r>
    </w:p>
    <w:p w:rsidR="0076474C" w:rsidRPr="00055684" w:rsidRDefault="0076474C" w:rsidP="00764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firstLine="708"/>
        <w:jc w:val="center"/>
        <w:rPr>
          <w:i/>
          <w:iCs/>
          <w:color w:val="0F243E"/>
        </w:rPr>
      </w:pPr>
    </w:p>
    <w:p w:rsidR="0076474C" w:rsidRPr="00055684" w:rsidRDefault="0076474C" w:rsidP="00764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firstLine="708"/>
        <w:jc w:val="center"/>
        <w:rPr>
          <w:i/>
          <w:iCs/>
          <w:color w:val="0F243E"/>
        </w:rPr>
      </w:pPr>
    </w:p>
    <w:p w:rsidR="0076474C" w:rsidRPr="00055684" w:rsidRDefault="0076474C" w:rsidP="00764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firstLine="708"/>
        <w:jc w:val="center"/>
        <w:rPr>
          <w:i/>
          <w:iCs/>
          <w:color w:val="0F243E"/>
        </w:rPr>
      </w:pPr>
    </w:p>
    <w:p w:rsidR="0076474C" w:rsidRPr="00055684" w:rsidRDefault="0076474C" w:rsidP="00764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firstLine="708"/>
        <w:jc w:val="center"/>
        <w:rPr>
          <w:i/>
          <w:iCs/>
          <w:color w:val="0F243E"/>
        </w:rPr>
      </w:pPr>
    </w:p>
    <w:p w:rsidR="00FB1172" w:rsidRDefault="00FB1172"/>
    <w:sectPr w:rsidR="00FB11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5A" w:rsidRDefault="0008225A" w:rsidP="0076474C">
      <w:r>
        <w:separator/>
      </w:r>
    </w:p>
  </w:endnote>
  <w:endnote w:type="continuationSeparator" w:id="0">
    <w:p w:rsidR="0008225A" w:rsidRDefault="0008225A" w:rsidP="007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5A" w:rsidRDefault="0008225A" w:rsidP="0076474C">
      <w:r>
        <w:separator/>
      </w:r>
    </w:p>
  </w:footnote>
  <w:footnote w:type="continuationSeparator" w:id="0">
    <w:p w:rsidR="0008225A" w:rsidRDefault="0008225A" w:rsidP="00764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74C" w:rsidRDefault="0076474C" w:rsidP="0076474C">
    <w:pPr>
      <w:tabs>
        <w:tab w:val="left" w:pos="8880"/>
      </w:tabs>
      <w:jc w:val="center"/>
    </w:pPr>
    <w:r>
      <w:rPr>
        <w:noProof/>
        <w:sz w:val="20"/>
        <w:lang w:val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8.65pt;margin-top:4.1pt;width:44pt;height:33.05pt;z-index:251659264;mso-wrap-edited:f" wrapcoords="-273 0 -273 21316 21600 21316 21600 0 -273 0" filled="t" fillcolor="black">
          <v:imagedata r:id="rId1" o:title=""/>
        </v:shape>
        <o:OLEObject Type="Embed" ProgID="PBrush" ShapeID="_x0000_s2049" DrawAspect="Content" ObjectID="_1538460854" r:id="rId2"/>
      </w:objec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2418080</wp:posOffset>
              </wp:positionH>
              <wp:positionV relativeFrom="paragraph">
                <wp:posOffset>-102870</wp:posOffset>
              </wp:positionV>
              <wp:extent cx="762000" cy="737870"/>
              <wp:effectExtent l="27305" t="30480" r="29845" b="317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3787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50800" cmpd="dbl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A3E0CB5" id="Elipse 1" o:spid="_x0000_s1026" style="position:absolute;margin-left:190.4pt;margin-top:-8.1pt;width:60pt;height:5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" strokecolor="#272727" strokeweight="4pt">
              <v:stroke linestyle="thinThin"/>
            </v:oval>
          </w:pict>
        </mc:Fallback>
      </mc:AlternateContent>
    </w:r>
    <w:r>
      <w:t xml:space="preserve"> </w:t>
    </w:r>
  </w:p>
  <w:p w:rsidR="0076474C" w:rsidRDefault="0076474C" w:rsidP="0076474C">
    <w:pPr>
      <w:jc w:val="center"/>
      <w:rPr>
        <w:sz w:val="2"/>
      </w:rPr>
    </w:pPr>
  </w:p>
  <w:p w:rsidR="0076474C" w:rsidRDefault="0076474C" w:rsidP="0076474C">
    <w:pPr>
      <w:tabs>
        <w:tab w:val="left" w:pos="9640"/>
      </w:tabs>
      <w:rPr>
        <w:sz w:val="2"/>
      </w:rPr>
    </w:pPr>
    <w:r>
      <w:rPr>
        <w:sz w:val="2"/>
      </w:rPr>
      <w:tab/>
    </w:r>
  </w:p>
  <w:p w:rsidR="0076474C" w:rsidRDefault="0076474C" w:rsidP="0076474C">
    <w:pPr>
      <w:pStyle w:val="Ttulo5"/>
      <w:rPr>
        <w:sz w:val="20"/>
      </w:rPr>
    </w:pPr>
  </w:p>
  <w:p w:rsidR="0076474C" w:rsidRPr="00AD13B5" w:rsidRDefault="0076474C" w:rsidP="0076474C">
    <w:pPr>
      <w:pStyle w:val="Ttulo5"/>
      <w:rPr>
        <w:sz w:val="12"/>
      </w:rPr>
    </w:pPr>
  </w:p>
  <w:p w:rsidR="0076474C" w:rsidRPr="00AD13B5" w:rsidRDefault="0076474C" w:rsidP="0076474C">
    <w:pPr>
      <w:pStyle w:val="Ttulo5"/>
      <w:rPr>
        <w:sz w:val="10"/>
      </w:rPr>
    </w:pPr>
  </w:p>
  <w:p w:rsidR="0076474C" w:rsidRDefault="0076474C" w:rsidP="0076474C">
    <w:pPr>
      <w:pStyle w:val="Ttulo5"/>
    </w:pPr>
  </w:p>
  <w:p w:rsidR="0076474C" w:rsidRPr="00202E7F" w:rsidRDefault="0076474C" w:rsidP="0076474C">
    <w:pPr>
      <w:pStyle w:val="Ttulo5"/>
    </w:pPr>
    <w:r w:rsidRPr="00202E7F">
      <w:t>ESTADO DO TOCANTINS</w:t>
    </w:r>
  </w:p>
  <w:p w:rsidR="0076474C" w:rsidRPr="005B4476" w:rsidRDefault="0076474C" w:rsidP="0076474C">
    <w:pPr>
      <w:pStyle w:val="Ttulo4"/>
      <w:rPr>
        <w:sz w:val="30"/>
      </w:rPr>
    </w:pPr>
    <w:r w:rsidRPr="005B4476">
      <w:rPr>
        <w:sz w:val="30"/>
      </w:rPr>
      <w:t xml:space="preserve">   PREFEITURA MUNICIPAL DE GUARAÍ</w:t>
    </w:r>
  </w:p>
  <w:p w:rsidR="0076474C" w:rsidRPr="007777B2" w:rsidRDefault="0076474C" w:rsidP="0076474C">
    <w:pPr>
      <w:jc w:val="center"/>
      <w:rPr>
        <w:b/>
        <w:i/>
        <w:sz w:val="20"/>
        <w:lang w:val="pt-BR"/>
      </w:rPr>
    </w:pPr>
    <w:r>
      <w:rPr>
        <w:b/>
        <w:i/>
        <w:sz w:val="20"/>
        <w:lang w:val="pt-BR"/>
      </w:rPr>
      <w:t xml:space="preserve">     </w:t>
    </w:r>
    <w:r w:rsidRPr="007777B2">
      <w:rPr>
        <w:b/>
        <w:i/>
        <w:sz w:val="20"/>
        <w:lang w:val="pt-BR"/>
      </w:rPr>
      <w:t>“DESENVOLVIMENTO E OPORTUNIDADE PARA TODOS”</w:t>
    </w:r>
  </w:p>
  <w:p w:rsidR="0076474C" w:rsidRDefault="00764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4C"/>
    <w:rsid w:val="0008225A"/>
    <w:rsid w:val="0076474C"/>
    <w:rsid w:val="00C3406D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00E44D-B135-49EB-A7C0-FCCADBF0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76474C"/>
    <w:pPr>
      <w:keepNext/>
      <w:jc w:val="center"/>
      <w:outlineLvl w:val="3"/>
    </w:pPr>
    <w:rPr>
      <w:b/>
      <w:bCs/>
      <w:i/>
      <w:iCs/>
      <w:sz w:val="26"/>
      <w:szCs w:val="20"/>
      <w:lang w:val="pt-BR"/>
    </w:rPr>
  </w:style>
  <w:style w:type="paragraph" w:styleId="Ttulo5">
    <w:name w:val="heading 5"/>
    <w:basedOn w:val="Normal"/>
    <w:next w:val="Normal"/>
    <w:link w:val="Ttulo5Char"/>
    <w:qFormat/>
    <w:rsid w:val="0076474C"/>
    <w:pPr>
      <w:keepNext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6474C"/>
    <w:rPr>
      <w:sz w:val="28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76474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p11">
    <w:name w:val="p11"/>
    <w:basedOn w:val="Normal"/>
    <w:uiPriority w:val="99"/>
    <w:rsid w:val="0076474C"/>
    <w:pPr>
      <w:spacing w:line="240" w:lineRule="atLeast"/>
      <w:ind w:left="1000"/>
    </w:pPr>
    <w:rPr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764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74C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7647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4C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rsid w:val="0076474C"/>
    <w:rPr>
      <w:rFonts w:ascii="Times New Roman" w:eastAsia="Times New Roman" w:hAnsi="Times New Roman" w:cs="Times New Roman"/>
      <w:b/>
      <w:bCs/>
      <w:i/>
      <w:iCs/>
      <w:sz w:val="2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6474C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2016-10-20T11:28:00Z</dcterms:created>
  <dcterms:modified xsi:type="dcterms:W3CDTF">2016-10-20T11:28:00Z</dcterms:modified>
</cp:coreProperties>
</file>